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cs="宋体"/>
          <w:szCs w:val="32"/>
        </w:rPr>
        <w:t>附件：1.2023年度</w:t>
      </w:r>
      <w:r>
        <w:rPr>
          <w:rFonts w:hint="eastAsia" w:ascii="仿宋_GB2312" w:hAnsi="仿宋_GB2312" w:cs="仿宋_GB2312"/>
          <w:bCs/>
          <w:szCs w:val="32"/>
        </w:rPr>
        <w:t>项目支出绩效自评表</w:t>
      </w:r>
    </w:p>
    <w:p>
      <w:pPr>
        <w:adjustRightInd w:val="0"/>
        <w:snapToGrid w:val="0"/>
        <w:spacing w:line="600" w:lineRule="exact"/>
        <w:ind w:left="1600" w:leftChars="200" w:hanging="960" w:hangingChars="300"/>
        <w:rPr>
          <w:rFonts w:hint="eastAsia" w:ascii="楷体_GB2312" w:eastAsia="楷体_GB2312" w:cs="宋体"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2.</w:t>
      </w:r>
      <w:bookmarkStart w:id="0" w:name="_GoBack"/>
      <w:r>
        <w:rPr>
          <w:rFonts w:hint="eastAsia" w:ascii="仿宋_GB2312" w:hAnsi="仿宋_GB2312" w:cs="仿宋_GB2312"/>
          <w:bCs/>
          <w:szCs w:val="32"/>
        </w:rPr>
        <w:t>2023年度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高端装备(智能家电）产业工作推进经费项目</w:t>
      </w:r>
      <w:r>
        <w:rPr>
          <w:rFonts w:hint="eastAsia" w:ascii="仿宋_GB2312" w:cs="宋体"/>
          <w:szCs w:val="32"/>
        </w:rPr>
        <w:t>绩效评价报告</w:t>
      </w:r>
      <w:bookmarkEnd w:id="0"/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项目支出绩效自评表清单：</w:t>
      </w:r>
    </w:p>
    <w:p>
      <w:pPr>
        <w:numPr>
          <w:ilvl w:val="0"/>
          <w:numId w:val="1"/>
        </w:numP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一月一招商服务市领导外出招商经费</w:t>
      </w:r>
    </w:p>
    <w:p>
      <w:pPr>
        <w:numPr>
          <w:ilvl w:val="0"/>
          <w:numId w:val="1"/>
        </w:numPr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招商宣传经费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3.高端装备（智能家电）产业工作推进经费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4.新材料（新能源汽车和智能网联汽车）产业工作推进经费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5.新一代信息技术产业工作推进经费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6.绿色食品产业工作推进经费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7.生命健康产业工作推进经费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8.数字创意产业（文化旅游体育）工作推进经费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9.新能源和节能环保产业工作推进经费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10.人工智能产业工作推进经费</w:t>
      </w:r>
    </w:p>
    <w:p>
      <w:pPr>
        <w:numPr>
          <w:ilvl w:val="0"/>
          <w:numId w:val="0"/>
        </w:numP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11.轻工产业（绿色家居建材和轻纺鞋服）工作推进经费</w:t>
      </w:r>
    </w:p>
    <w:p>
      <w:pPr>
        <w:numPr>
          <w:ilvl w:val="0"/>
          <w:numId w:val="0"/>
        </w:numP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12.现代物流产业工作推进经费</w:t>
      </w:r>
    </w:p>
    <w:p>
      <w:pPr>
        <w:numPr>
          <w:ilvl w:val="0"/>
          <w:numId w:val="0"/>
        </w:numP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13.招商引资“双百”人才培养专项经费</w:t>
      </w:r>
    </w:p>
    <w:p>
      <w:pPr>
        <w:numPr>
          <w:ilvl w:val="0"/>
          <w:numId w:val="0"/>
        </w:numPr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14.聘用劳务派遣4人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tbl>
      <w:tblPr>
        <w:tblStyle w:val="5"/>
        <w:tblW w:w="9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29"/>
        <w:gridCol w:w="1058"/>
        <w:gridCol w:w="503"/>
        <w:gridCol w:w="896"/>
        <w:gridCol w:w="962"/>
        <w:gridCol w:w="861"/>
        <w:gridCol w:w="1338"/>
        <w:gridCol w:w="590"/>
        <w:gridCol w:w="778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一月一招商服务市领导外出招商经费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27.77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92.57%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27.77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每月陪同市领导外出招商，招商工作坚持顶格推动，推动招商工作再上新台阶。</w:t>
            </w:r>
          </w:p>
        </w:tc>
        <w:tc>
          <w:tcPr>
            <w:tcW w:w="3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每月陪同是领导外出招商，一月一招商。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指标1：陪同市领导外出招商月度计划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一月一招商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指标1：招商工作顶格推进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市主要领导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指标1：时间进度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每月一次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招商经费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30万元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推动宿州市经济发展繁荣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更加繁荣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指标1：完成满意度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大于等于95%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hint="eastAsia" w:ascii="仿宋" w:hAnsi="仿宋" w:eastAsia="仿宋" w:cs="仿宋"/>
          <w:bCs/>
          <w:szCs w:val="32"/>
        </w:rPr>
      </w:pPr>
    </w:p>
    <w:tbl>
      <w:tblPr>
        <w:tblStyle w:val="5"/>
        <w:tblW w:w="51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84"/>
        <w:gridCol w:w="1076"/>
        <w:gridCol w:w="513"/>
        <w:gridCol w:w="1036"/>
        <w:gridCol w:w="841"/>
        <w:gridCol w:w="853"/>
        <w:gridCol w:w="1045"/>
        <w:gridCol w:w="562"/>
        <w:gridCol w:w="96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7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招商宣传经费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2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2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2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2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2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其他资金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6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宣传宿州区位、资源及系列优惠政策，推动招商引资约年15%增长的目标实现。</w:t>
            </w:r>
          </w:p>
        </w:tc>
        <w:tc>
          <w:tcPr>
            <w:tcW w:w="19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印刷一批宣传册，打造招商平台，宣传我市区位、资源及系列优惠政策。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指标1：招商宣传手册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指标2：招商宣传片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指标1：宣传效果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指标1：完成时间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指标1：宣传册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指标2：宣传片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指标1：增加招商引资吸引力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指标1：扩大宿州市知名度美誉度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逐渐扩大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指标1：工作满意度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大于等于95%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bidi w:val="0"/>
        <w:rPr>
          <w:rFonts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492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492"/>
        </w:tabs>
        <w:bidi w:val="0"/>
        <w:rPr>
          <w:rFonts w:hint="eastAsia"/>
          <w:lang w:val="en-US" w:eastAsia="zh-CN"/>
        </w:rPr>
      </w:pPr>
    </w:p>
    <w:p>
      <w:pPr>
        <w:tabs>
          <w:tab w:val="left" w:pos="3492"/>
        </w:tabs>
        <w:bidi w:val="0"/>
        <w:rPr>
          <w:rFonts w:hint="eastAsia"/>
          <w:lang w:val="en-US" w:eastAsia="zh-CN"/>
        </w:rPr>
      </w:pPr>
    </w:p>
    <w:p>
      <w:pPr>
        <w:tabs>
          <w:tab w:val="left" w:pos="3492"/>
        </w:tabs>
        <w:bidi w:val="0"/>
        <w:rPr>
          <w:rFonts w:hint="eastAsia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16"/>
        <w:gridCol w:w="1016"/>
        <w:gridCol w:w="1660"/>
        <w:gridCol w:w="363"/>
        <w:gridCol w:w="850"/>
        <w:gridCol w:w="786"/>
        <w:gridCol w:w="716"/>
        <w:gridCol w:w="773"/>
        <w:gridCol w:w="1054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6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高端装备(智能家电)产业招商工作经费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推动高端装备（智能家电）产业招商工作，实现每年约15%的增长目标。</w:t>
            </w:r>
          </w:p>
        </w:tc>
        <w:tc>
          <w:tcPr>
            <w:tcW w:w="1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签约数控机床和精密五金构件生产项目，项目总投资约10亿元。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成值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指标1：高端装备（智能家电）产业招商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指标1;项目完成时间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 1：招商工作经费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 1：招商资金增长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指标1：促进产业经济繁荣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大于等于90%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11"/>
        <w:gridCol w:w="994"/>
        <w:gridCol w:w="1045"/>
        <w:gridCol w:w="928"/>
        <w:gridCol w:w="702"/>
        <w:gridCol w:w="702"/>
        <w:gridCol w:w="1189"/>
        <w:gridCol w:w="674"/>
        <w:gridCol w:w="80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新材料(新能源汽车和智能网联汽车)产业招商工作经费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85.00%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新材料（新能源汽车和智能网联汽车）产业招商工作，实现每年约15%的增长目标。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签约年产6000吨热收宿膜生产项目，项目总投资约1.2亿元。洽谈特种工程塑料及热塑碳纤复材项目。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指标1：新材料（新能源汽车和智能网联汽车）产业招商工作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 ：项目完成时间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指标1：招商资金增长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 1：促进产业经济繁荣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大于等于90%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11"/>
        <w:gridCol w:w="994"/>
        <w:gridCol w:w="1045"/>
        <w:gridCol w:w="928"/>
        <w:gridCol w:w="702"/>
        <w:gridCol w:w="702"/>
        <w:gridCol w:w="1189"/>
        <w:gridCol w:w="674"/>
        <w:gridCol w:w="80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新一代信息技术产业“双招双引”工作经费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85.00%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推动新一代信息技术产业招商工作，实现每年约15%的增长目标。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签约国创超算中心项目，项目总投资约10亿元。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指标1：新一代信息技术产业招商工作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指标1：招商资金增长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指标1：促进产业经济繁荣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大于等于90%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11"/>
        <w:gridCol w:w="994"/>
        <w:gridCol w:w="1045"/>
        <w:gridCol w:w="928"/>
        <w:gridCol w:w="702"/>
        <w:gridCol w:w="702"/>
        <w:gridCol w:w="1189"/>
        <w:gridCol w:w="674"/>
        <w:gridCol w:w="80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绿色食品产业“双招双引”工作经费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79.02%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推动绿色食品产业招商工作，实现每年约15%的增长目标。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大宗食品原料仓储冷链及深加工项目，拟在宿马园区农动食品南侧用地约200亩用于大宗货物集散仓储物流、电商平台及派发、大宗食品原料的深加工及分装车间、大宗食品的原材料的冷藏冷链发送，葡萄糖生产出口等，计划总投资15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指标1：绿色食品产业招商工作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指标1：招商资金增长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指标1：促进产业经济繁荣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大于等于90%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11"/>
        <w:gridCol w:w="994"/>
        <w:gridCol w:w="1045"/>
        <w:gridCol w:w="928"/>
        <w:gridCol w:w="702"/>
        <w:gridCol w:w="702"/>
        <w:gridCol w:w="1189"/>
        <w:gridCol w:w="674"/>
        <w:gridCol w:w="80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生命健康产业“”双招双引”工作经费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87.50%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推动生命健康产业招商工作，实现每年约15%的增长目标。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接洽植物提取和原料药合成生产项目，投资意向明确，下一步将会同市经开区，市产投集团继续跟踪推进。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指标1：生命健康产业招商工作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 1：项目完成时间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指标1：招商资金增长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指标1：促进产业经济繁荣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大于等于90%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08"/>
        <w:gridCol w:w="983"/>
        <w:gridCol w:w="1033"/>
        <w:gridCol w:w="918"/>
        <w:gridCol w:w="696"/>
        <w:gridCol w:w="696"/>
        <w:gridCol w:w="1175"/>
        <w:gridCol w:w="668"/>
        <w:gridCol w:w="88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数字创意产业(文化旅游体育)产业招商经费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推动数字创意产业（文化旅游体育）产业招商工作，实现每年约15%的增长目标。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接洽智能帐篷生产项目 ，包括标准化厂房，产业基金，生产智能帐篷。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指标1：数字创意产业招商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指标1：招商资金增长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指标1：促进产业经济繁荣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大于等于90%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11"/>
        <w:gridCol w:w="994"/>
        <w:gridCol w:w="1045"/>
        <w:gridCol w:w="928"/>
        <w:gridCol w:w="702"/>
        <w:gridCol w:w="702"/>
        <w:gridCol w:w="1189"/>
        <w:gridCol w:w="674"/>
        <w:gridCol w:w="80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新能源和节能环保产业招商工作经费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19.39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96.95%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19.39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推动新能源和节能环保产业招商工作，实现每年约15%的增长目标。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洽谈宿州市生活垃圾分类资源化利用处置中心项目；洽谈苏州云帆宿州电解水及氢能设备制造基地项目，拟投资规模2亿元。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指标1：新能源和节能环保产业招商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指标1：招商资金增长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指标1：促进产业经济繁荣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08"/>
        <w:gridCol w:w="983"/>
        <w:gridCol w:w="1033"/>
        <w:gridCol w:w="918"/>
        <w:gridCol w:w="696"/>
        <w:gridCol w:w="696"/>
        <w:gridCol w:w="1175"/>
        <w:gridCol w:w="668"/>
        <w:gridCol w:w="88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人工智能产业招商工作经费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推动人工智能产业招商工作，实现每年约15%的增长目标。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智能空气净化器项目，投资意向明确，已会同市经开区对接洽谈。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指标1：人工智能产业招商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指标1：招商资金增长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指标1：促进产业经济繁荣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大于等于90%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13"/>
        <w:gridCol w:w="1005"/>
        <w:gridCol w:w="977"/>
        <w:gridCol w:w="1018"/>
        <w:gridCol w:w="709"/>
        <w:gridCol w:w="709"/>
        <w:gridCol w:w="1202"/>
        <w:gridCol w:w="657"/>
        <w:gridCol w:w="907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轻工产业(绿色家居建材和轻纺鞋服)招商经费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5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0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轻工产业（绿色家居建材和轻纺鞋服）招商工作，实现每年约15%的增长目标。</w:t>
            </w:r>
          </w:p>
        </w:tc>
        <w:tc>
          <w:tcPr>
            <w:tcW w:w="20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洽谈智能空气净化器项目，拟选址新建无耗材空气净化器、声控循环扇、碳纳米管电暖器，3D火焰加湿器等产品生产基地，为家庭、办公室、医院及工业提供世界一流的清洁空气解决方案。拟投资1亿元。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指标1：轻工产业招商工作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指标1：招商工作经费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指标1：招商资金增长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指标1：促进产业经济繁荣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大于等于90%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08"/>
        <w:gridCol w:w="983"/>
        <w:gridCol w:w="1033"/>
        <w:gridCol w:w="918"/>
        <w:gridCol w:w="696"/>
        <w:gridCol w:w="696"/>
        <w:gridCol w:w="1175"/>
        <w:gridCol w:w="668"/>
        <w:gridCol w:w="88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现代物流产业“双招双引”工作经费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推动现代物流产业招商工作，实现每年约15%的增长目标。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大宗食品原料仓储冷链及深加工项目，拟在宿马园区农动食品南侧用地约200亩用于大宗货物集散仓储物流、电商平台及派发、大宗食品原料的深加工及分装车间、大宗食品的原材料的冷藏冷链发送，葡萄糖生产出口等，计划总投资15亿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指标1：现代物流产业招商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指标1：招商项目个数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指标2：招商项目金额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2亿元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指标1：招商工作经费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指标1:招商资金增长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 1：促进产业经济繁荣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逐年增长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 1：企业满意度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大于等于90%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11"/>
        <w:gridCol w:w="994"/>
        <w:gridCol w:w="1045"/>
        <w:gridCol w:w="928"/>
        <w:gridCol w:w="702"/>
        <w:gridCol w:w="702"/>
        <w:gridCol w:w="1189"/>
        <w:gridCol w:w="674"/>
        <w:gridCol w:w="80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招商引资“双百”人才培养专项经费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88.86%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切实加强全市“双招双引”工作力量，提升全市招商干部专业化能力水平，培育一批招商引资新生力量。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举办宿州市三基地三节点产业招商专题培训班，成立宿州市青年产业招商战队。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指标1:提升专业水平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指标2：培育新生力量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指标1：能力提升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较大提升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指标2：培训合格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完成考核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指标1：完成时间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指标1：培训经费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指标1：加强招商力量，促进产业经济更加繁荣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更加繁荣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指标1：加强招商力量，促进社会更加昌盛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更加昌盛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培训队伍满意度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大于等于95%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bidi w:val="0"/>
        <w:jc w:val="left"/>
        <w:rPr>
          <w:sz w:val="20"/>
          <w:szCs w:val="20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08"/>
        <w:gridCol w:w="983"/>
        <w:gridCol w:w="1033"/>
        <w:gridCol w:w="918"/>
        <w:gridCol w:w="696"/>
        <w:gridCol w:w="696"/>
        <w:gridCol w:w="1175"/>
        <w:gridCol w:w="668"/>
        <w:gridCol w:w="88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聘用劳务派遣4人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122-宿州市投资促进中心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122001-宿州市投资促进中心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支持市投资促进中心科室工作。</w:t>
            </w:r>
          </w:p>
        </w:tc>
        <w:tc>
          <w:tcPr>
            <w:tcW w:w="19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与市人才公司签约聘用劳务派遣4人，有力支持中心科室工作。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指标1：聘用人数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指标1：按质量完成工作任务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保证质量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指标1：按时完成工作任务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指标1：聘用经费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指标1：辅助招商工作完成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辅助完成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指标1：增加社会就业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指标1：工作完成满意度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大于等于98%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jc w:val="left"/>
        <w:rPr>
          <w:sz w:val="20"/>
          <w:szCs w:val="20"/>
          <w:lang w:val="en-US" w:eastAsia="zh-CN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left="87" w:right="1186"/>
        <w:textAlignment w:val="auto"/>
        <w:outlineLvl w:val="9"/>
        <w:rPr>
          <w:rFonts w:hint="eastAsia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right="1186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line="600" w:lineRule="exact"/>
        <w:ind w:right="1186"/>
        <w:jc w:val="both"/>
        <w:textAlignment w:val="auto"/>
        <w:outlineLvl w:val="9"/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附件2 项目支出绩效评价报告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  <w:rPr>
          <w:rFonts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  <w:rPr>
          <w:rFonts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  <w:rPr>
          <w:rFonts w:ascii="黑体" w:hAnsi="黑体" w:eastAsia="黑体" w:cs="黑体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="1" w:line="600" w:lineRule="exact"/>
        <w:ind w:left="89" w:right="1186"/>
        <w:jc w:val="center"/>
        <w:textAlignment w:val="auto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高端装备（智能家电）产业工作推进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方正小标宋_GBK" w:eastAsia="方正小标宋_GBK" w:cs="方正小标宋_GBK"/>
          <w:sz w:val="44"/>
          <w:szCs w:val="44"/>
        </w:rPr>
        <w:t>经费项目支出绩效评价报告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  <w:rPr>
          <w:rFonts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</w:pPr>
    </w:p>
    <w:p>
      <w:pPr>
        <w:pStyle w:val="9"/>
        <w:keepNext w:val="0"/>
        <w:keepLines w:val="0"/>
        <w:pageBreakBefore w:val="0"/>
        <w:wordWrap/>
        <w:topLinePunct w:val="0"/>
        <w:bidi w:val="0"/>
        <w:snapToGrid/>
        <w:spacing w:line="600" w:lineRule="exact"/>
      </w:pPr>
    </w:p>
    <w:p>
      <w:pPr>
        <w:pStyle w:val="9"/>
        <w:keepNext w:val="0"/>
        <w:keepLines w:val="0"/>
        <w:pageBreakBefore w:val="0"/>
        <w:wordWrap/>
        <w:topLinePunct w:val="0"/>
        <w:bidi w:val="0"/>
        <w:snapToGrid/>
        <w:spacing w:line="600" w:lineRule="exact"/>
      </w:pPr>
    </w:p>
    <w:p>
      <w:pPr>
        <w:pStyle w:val="9"/>
        <w:keepNext w:val="0"/>
        <w:keepLines w:val="0"/>
        <w:pageBreakBefore w:val="0"/>
        <w:wordWrap/>
        <w:topLinePunct w:val="0"/>
        <w:bidi w:val="0"/>
        <w:snapToGrid/>
        <w:spacing w:line="600" w:lineRule="exact"/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ind w:firstLine="600"/>
        <w:textAlignment w:val="auto"/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="1" w:line="600" w:lineRule="exact"/>
        <w:ind w:left="89" w:right="1183"/>
        <w:jc w:val="center"/>
        <w:textAlignment w:val="auto"/>
        <w:rPr>
          <w:rFonts w:ascii="楷体" w:hAnsi="Arial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  <w:lang w:val="en-US" w:eastAsia="zh-CN"/>
        </w:rPr>
        <w:t xml:space="preserve">     </w:t>
      </w:r>
      <w:r>
        <w:rPr>
          <w:rFonts w:ascii="楷体" w:eastAsia="楷体" w:cs="楷体"/>
          <w:sz w:val="32"/>
          <w:szCs w:val="32"/>
        </w:rPr>
        <w:t>20</w:t>
      </w:r>
      <w:r>
        <w:rPr>
          <w:rFonts w:hint="eastAsia" w:ascii="楷体" w:eastAsia="楷体" w:cs="楷体"/>
          <w:sz w:val="32"/>
          <w:szCs w:val="32"/>
        </w:rPr>
        <w:t>2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Arial" w:eastAsia="楷体" w:cs="楷体"/>
          <w:sz w:val="32"/>
          <w:szCs w:val="32"/>
        </w:rPr>
        <w:t>年03月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sz w:val="32"/>
          <w:szCs w:val="32"/>
        </w:rPr>
      </w:pPr>
    </w:p>
    <w:p>
      <w:pPr>
        <w:pStyle w:val="9"/>
        <w:keepNext w:val="0"/>
        <w:keepLines w:val="0"/>
        <w:pageBreakBefore w:val="0"/>
        <w:wordWrap/>
        <w:topLinePunct w:val="0"/>
        <w:bidi w:val="0"/>
        <w:snapToGrid/>
        <w:spacing w:line="600" w:lineRule="exact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项目基本情况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概况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（1）项目概述：推行产业招商链长制度，聚焦高端装备（智能家电）产业方向组建重点产业“双招双引”工作组，开展工作。</w:t>
      </w:r>
    </w:p>
    <w:p>
      <w:pPr>
        <w:spacing w:line="600" w:lineRule="exact"/>
        <w:ind w:firstLine="640" w:firstLineChars="200"/>
        <w:jc w:val="left"/>
        <w:rPr>
          <w:rFonts w:hint="default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（2）立项依据：《宿州市人民政府办公室关于全面推进“双招双引”工作的实施意见》（宿政办发【2021】2号），市政府2021年6月3日印发。</w:t>
      </w:r>
    </w:p>
    <w:p>
      <w:pPr>
        <w:spacing w:line="600" w:lineRule="exact"/>
        <w:ind w:firstLine="640" w:firstLineChars="200"/>
        <w:jc w:val="left"/>
        <w:rPr>
          <w:rFonts w:hint="default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（3）项目内容：外出招商差旅、接待，客商来宿接待等费用。</w:t>
      </w:r>
    </w:p>
    <w:p>
      <w:pPr>
        <w:spacing w:line="600" w:lineRule="exact"/>
        <w:ind w:firstLine="640" w:firstLineChars="200"/>
        <w:jc w:val="left"/>
        <w:rPr>
          <w:rFonts w:hint="default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（4）年度预算安排20万元，实际执行20万元，预算执行率100%。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（二）项目绩效目标。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通过项目实施，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推动高端装备（智能家电）产业招商工作。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20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年度我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与广东智目科技有限公司签约数控机床和精密五金构建生产项目，项目总投资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10亿元，分二期实施，其中一期投资2亿元，租赁宿马园区机械制造产业园标准化厂房3号约15000平米，生产多主轴精密数控机床及新能源汽车散热结构件、军工航天领域结构件。预计达产后可实现年产值约4亿元左右，年税收约2000万元左右，实现就业300人以上。二期需要园区供地200亩，打造华东最大的智能制造总部基地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topLinePunct w:val="0"/>
        <w:autoSpaceDE/>
        <w:autoSpaceDN/>
        <w:bidi w:val="0"/>
        <w:adjustRightInd/>
        <w:snapToGrid/>
        <w:spacing w:before="0" w:beforeAutospacing="0" w:after="300" w:afterAutospacing="0" w:line="580" w:lineRule="exact"/>
        <w:ind w:left="0" w:right="0" w:firstLine="645"/>
        <w:jc w:val="both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二、绩效评价工作开展情况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（一）完善机制，建立科学规范的项目支出评价机制，规范和加强项目支出的管理，对项目支出绩效进行评价，全面评价总体目标完成情况和年度绩效目标完成情况。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（二）规范设置，精准评价。评价坚持科学规范、公开公正、分级分类、绩效相关，以预期目标与实际完成情况、预定目标与实施效果相比较的方法进行评价。设立三级指标，分别考核，逐级量化，精准评价。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（三）过程严谨。确立评级对象，成立评价工作组，制定评价方案，细化评价目的、对象、内容、任务，评价依据客观真实，评价过程公开透明，根据评价结果，撰写评价报告。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三、综合评价情况及评价结论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本部门组织对202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年度纳入部门预算的高端装备（智能家电）产业招商经费项目支出开展了绩效自评，涉及资金2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万元。该项目开展绩效评价的组织方式为部门自主实施。评价依据结合202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年预决算数据，参考权威业绩统计，由机关财务工作人员收集数据，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综合考评科提供招商项目资料，由中心办公室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初审，分管领导审核，评价过程符合财政部门绩效自评要求，自评结果客观真实，财政部门予以认定。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该经费项目绩效自评综述：高端装备（智能家电）产业招商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经费项目绩效自评得分100分，完成年初设定的绩效目标。项目全年预算数20万元，执行数20万元，完成预算的100%，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优秀等级。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52" w:line="580" w:lineRule="exact"/>
        <w:ind w:right="1534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（一）项目决策情况。为做好全市招商引资工作，市投资促进中心按照市委、市政府决策部署，聚焦高端制造（智能家电）产业招商，所需招商经费20万元。项目分解出三级指标：一级指标是产出指标、效益指标和满意度指标；产出指标分解二级指标分别为数量指标、质量指标、时效指标、成本指标，效益指标分解二级指标分别为经济效益指标和社会效益指标，满意度指标二级指标为服务对象满意度指标；三级指标根据我单位业务情况详细分解为可量化或可定性指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（二）项目过程情况。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评价依据结合202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年预决算数据，参考权威业绩统计，由机关财务工作人员收集数据，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综合考评科提供项目招商情况，由中心办公室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初审，分管领导审核，评价过程符合财政部门绩效自评要求，自评结果客观真实，财政部门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绩效科</w:t>
      </w:r>
      <w:r>
        <w:rPr>
          <w:rFonts w:hint="eastAsia" w:ascii="方正仿宋_GBK" w:eastAsia="方正仿宋_GBK"/>
          <w:color w:val="000000"/>
          <w:sz w:val="32"/>
          <w:szCs w:val="32"/>
          <w:lang w:val="zh-CN"/>
        </w:rPr>
        <w:t>予以认定。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（三）项目产出情况。2023年该项目圆满完成本年度招商引资任务，签约项目总资金10亿元。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（四）项目效益情况。经济效益促进招商资金同比增长，社会效益促进产业经济持续繁荣，为宿州经济发展提供持续不竭的动力。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五、主要经验及做法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一是落实政策、强化保障，保障产业招商工作顺利运转。二是严格经费审核，杜绝不合理支出，开源节流，提质增效。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六、存在问题及原因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主要问题：节约预算资金，提高资金利用效率。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七、有关建议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下一步改进措施：进一步加强预算资金管理，对预算的事前、事中、事后进行全过程控制，加大对预算编制与执行的监督管理力度，提高预算资金使用效率。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八、其他需要说明的问题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  <w:sectPr>
          <w:pgSz w:w="11910" w:h="16840"/>
          <w:pgMar w:top="1580" w:right="1420" w:bottom="1580" w:left="1480" w:header="0" w:footer="1384" w:gutter="0"/>
          <w:cols w:space="720" w:num="1"/>
        </w:sectPr>
      </w:pP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tabs>
          <w:tab w:val="left" w:pos="1050"/>
        </w:tabs>
        <w:bidi w:val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仿宋_GB2312"/>
        <w:sz w:val="28"/>
      </w:rPr>
    </w:pPr>
    <w:r>
      <w:rPr>
        <w:rStyle w:val="7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4</w:t>
    </w:r>
    <w:r>
      <w:rPr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22473"/>
    <w:multiLevelType w:val="singleLevel"/>
    <w:tmpl w:val="C87224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79401A"/>
    <w:multiLevelType w:val="singleLevel"/>
    <w:tmpl w:val="727940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WMyYTViZTRjMjFjNTNjMTY3YjcxNzlmN2IzODEifQ=="/>
  </w:docVars>
  <w:rsids>
    <w:rsidRoot w:val="00000000"/>
    <w:rsid w:val="004479E5"/>
    <w:rsid w:val="006C66A3"/>
    <w:rsid w:val="00DB24D9"/>
    <w:rsid w:val="02A22FA5"/>
    <w:rsid w:val="056A253B"/>
    <w:rsid w:val="075527A1"/>
    <w:rsid w:val="07BB058C"/>
    <w:rsid w:val="0891753F"/>
    <w:rsid w:val="0A9652E1"/>
    <w:rsid w:val="0D207895"/>
    <w:rsid w:val="0D2A0BE6"/>
    <w:rsid w:val="0FFE25A8"/>
    <w:rsid w:val="13CF716E"/>
    <w:rsid w:val="13FA068E"/>
    <w:rsid w:val="14290F74"/>
    <w:rsid w:val="14D23A54"/>
    <w:rsid w:val="150E5A4D"/>
    <w:rsid w:val="158A77F0"/>
    <w:rsid w:val="189764CC"/>
    <w:rsid w:val="19AF7825"/>
    <w:rsid w:val="1AB76610"/>
    <w:rsid w:val="20B87907"/>
    <w:rsid w:val="21E10F4A"/>
    <w:rsid w:val="25920290"/>
    <w:rsid w:val="28321D4D"/>
    <w:rsid w:val="30B46423"/>
    <w:rsid w:val="30BB0EC3"/>
    <w:rsid w:val="30EB612D"/>
    <w:rsid w:val="32197E8D"/>
    <w:rsid w:val="326E696E"/>
    <w:rsid w:val="342D5ABF"/>
    <w:rsid w:val="34B45107"/>
    <w:rsid w:val="34C93A39"/>
    <w:rsid w:val="34C957E7"/>
    <w:rsid w:val="352C35CA"/>
    <w:rsid w:val="356A1E08"/>
    <w:rsid w:val="388C0C94"/>
    <w:rsid w:val="388D2FD0"/>
    <w:rsid w:val="39F8091D"/>
    <w:rsid w:val="3A4D2A17"/>
    <w:rsid w:val="3A6D130B"/>
    <w:rsid w:val="3BFD221A"/>
    <w:rsid w:val="3C352822"/>
    <w:rsid w:val="3DEE2762"/>
    <w:rsid w:val="48E42798"/>
    <w:rsid w:val="49044BE8"/>
    <w:rsid w:val="49110F72"/>
    <w:rsid w:val="494C6851"/>
    <w:rsid w:val="496E6505"/>
    <w:rsid w:val="49731D6E"/>
    <w:rsid w:val="4A985F30"/>
    <w:rsid w:val="4CE54D31"/>
    <w:rsid w:val="4FF0236A"/>
    <w:rsid w:val="52F757BE"/>
    <w:rsid w:val="53D17DBD"/>
    <w:rsid w:val="54195511"/>
    <w:rsid w:val="555E38D2"/>
    <w:rsid w:val="55B47996"/>
    <w:rsid w:val="56DF0A43"/>
    <w:rsid w:val="57664CC0"/>
    <w:rsid w:val="5A33357F"/>
    <w:rsid w:val="5AD7215D"/>
    <w:rsid w:val="5B98218D"/>
    <w:rsid w:val="5BBB382C"/>
    <w:rsid w:val="5D6A375C"/>
    <w:rsid w:val="5F8C7770"/>
    <w:rsid w:val="5FE3195F"/>
    <w:rsid w:val="61502C69"/>
    <w:rsid w:val="62E80C7F"/>
    <w:rsid w:val="64C40ED0"/>
    <w:rsid w:val="65790DC3"/>
    <w:rsid w:val="683C5E79"/>
    <w:rsid w:val="68E00A78"/>
    <w:rsid w:val="6C711CE5"/>
    <w:rsid w:val="6D036DE1"/>
    <w:rsid w:val="713D5AF4"/>
    <w:rsid w:val="72E41463"/>
    <w:rsid w:val="754937FF"/>
    <w:rsid w:val="75504B8E"/>
    <w:rsid w:val="761F1D47"/>
    <w:rsid w:val="763E7E9A"/>
    <w:rsid w:val="7AA65250"/>
    <w:rsid w:val="7B7D4B0A"/>
    <w:rsid w:val="7C0861C2"/>
    <w:rsid w:val="7C0C6BC5"/>
    <w:rsid w:val="7D5A23BE"/>
    <w:rsid w:val="7DD43F91"/>
    <w:rsid w:val="7EE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标题 11"/>
    <w:basedOn w:val="1"/>
    <w:autoRedefine/>
    <w:qFormat/>
    <w:uiPriority w:val="0"/>
    <w:pPr>
      <w:widowControl w:val="0"/>
      <w:adjustRightInd w:val="0"/>
      <w:spacing w:line="753" w:lineRule="exact"/>
      <w:ind w:right="332"/>
      <w:jc w:val="center"/>
      <w:outlineLvl w:val="0"/>
    </w:pPr>
    <w:rPr>
      <w:rFonts w:ascii="方正小标宋_GBK" w:hAnsi="Times New Roman" w:eastAsia="方正小标宋_GBK" w:cs="方正小标宋_GBK"/>
      <w:sz w:val="44"/>
      <w:szCs w:val="44"/>
    </w:rPr>
  </w:style>
  <w:style w:type="paragraph" w:customStyle="1" w:styleId="9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5887</Words>
  <Characters>6985</Characters>
  <Lines>0</Lines>
  <Paragraphs>0</Paragraphs>
  <TotalTime>7</TotalTime>
  <ScaleCrop>false</ScaleCrop>
  <LinksUpToDate>false</LinksUpToDate>
  <CharactersWithSpaces>7385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2024-08-25T02:11:00Z</dcterms:created>
  <dc:creator>lenovo</dc:creator>
  <cp:lastModifiedBy>WPS_1606655868</cp:lastModifiedBy>
  <dcterms:modified xsi:type="dcterms:W3CDTF">2024-08-27T07:43:12Z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BD46F9CFF2344EFF813EC7790D253C8E_13</vt:lpwstr>
  </property>
</Properties>
</file>